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352" w:type="dxa"/>
        <w:tblInd w:w="-716" w:type="dxa"/>
        <w:tblCellMar>
          <w:top w:w="27" w:type="dxa"/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1622"/>
        <w:gridCol w:w="1860"/>
        <w:gridCol w:w="789"/>
        <w:gridCol w:w="1808"/>
        <w:gridCol w:w="1809"/>
        <w:gridCol w:w="1808"/>
        <w:gridCol w:w="1808"/>
        <w:gridCol w:w="1808"/>
        <w:gridCol w:w="1808"/>
        <w:gridCol w:w="1808"/>
        <w:gridCol w:w="1808"/>
        <w:gridCol w:w="1808"/>
        <w:gridCol w:w="1808"/>
      </w:tblGrid>
      <w:tr w:rsidR="000757CC" w14:paraId="38061078" w14:textId="77777777" w:rsidTr="00C45039">
        <w:trPr>
          <w:trHeight w:val="536"/>
        </w:trPr>
        <w:tc>
          <w:tcPr>
            <w:tcW w:w="7888" w:type="dxa"/>
            <w:gridSpan w:val="5"/>
            <w:tcBorders>
              <w:top w:val="single" w:sz="12" w:space="0" w:color="568096"/>
              <w:left w:val="single" w:sz="12" w:space="0" w:color="568096"/>
              <w:bottom w:val="single" w:sz="4" w:space="0" w:color="568096"/>
              <w:right w:val="nil"/>
            </w:tcBorders>
            <w:shd w:val="clear" w:color="auto" w:fill="568096"/>
          </w:tcPr>
          <w:p w14:paraId="6EB93596" w14:textId="77777777" w:rsidR="000757CC" w:rsidRDefault="009060F8">
            <w:pPr>
              <w:tabs>
                <w:tab w:val="center" w:pos="2335"/>
              </w:tabs>
              <w:spacing w:after="1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Kompetence-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  <w:t>Kompetence-</w:t>
            </w:r>
          </w:p>
          <w:p w14:paraId="5249BB65" w14:textId="77777777" w:rsidR="000757CC" w:rsidRDefault="009060F8">
            <w:pPr>
              <w:tabs>
                <w:tab w:val="center" w:pos="1832"/>
                <w:tab w:val="center" w:pos="3796"/>
              </w:tabs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område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  <w:t>mål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1"/>
                <w:vertAlign w:val="superscript"/>
              </w:rPr>
              <w:t>Faser</w:t>
            </w:r>
          </w:p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71A6EDED" w14:textId="77777777" w:rsidR="000757CC" w:rsidRDefault="000757CC"/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2C028DF1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Færdigheds- og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vidensmål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790C1F4E" w14:textId="77777777" w:rsidR="000757CC" w:rsidRDefault="000757CC"/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single" w:sz="12" w:space="0" w:color="568096"/>
            </w:tcBorders>
            <w:shd w:val="clear" w:color="auto" w:fill="568096"/>
          </w:tcPr>
          <w:p w14:paraId="6119DB7C" w14:textId="77777777" w:rsidR="000757CC" w:rsidRDefault="000757CC"/>
        </w:tc>
      </w:tr>
      <w:tr w:rsidR="000757CC" w14:paraId="20FF944F" w14:textId="77777777" w:rsidTr="00C45039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5BB29F10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 og sundhed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6E8D0FFC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træffe begrundede madvalg i forhold til sundhed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34AB3B52" w14:textId="77777777" w:rsidR="000757CC" w:rsidRDefault="009060F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80F8D89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Sundhedsbevidsthed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77B584F4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Ernæring og energibehov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09BA69B9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Hygiejne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nil"/>
            </w:tcBorders>
            <w:shd w:val="clear" w:color="auto" w:fill="DBDCDE"/>
            <w:vAlign w:val="center"/>
          </w:tcPr>
          <w:p w14:paraId="4F769308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nil"/>
              <w:right w:val="single" w:sz="12" w:space="0" w:color="568096"/>
            </w:tcBorders>
            <w:shd w:val="clear" w:color="auto" w:fill="DBDCDE"/>
          </w:tcPr>
          <w:p w14:paraId="12F375EC" w14:textId="77777777" w:rsidR="000757CC" w:rsidRDefault="000757CC"/>
        </w:tc>
      </w:tr>
      <w:tr w:rsidR="000757CC" w14:paraId="504B438B" w14:textId="77777777" w:rsidTr="00883657">
        <w:trPr>
          <w:trHeight w:val="1644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07E96FAC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216DCC37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0C400C56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1025F51E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omsætte viden om sund mad i madlavning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1B394A61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sund mad og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7FE733D7" w14:textId="77777777" w:rsidR="000757CC" w:rsidRDefault="009060F8">
            <w:pPr>
              <w:ind w:left="2" w:right="6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redegøre for energibehov og ernæring i forhold til egen sundhed, herunder med digital kostberegning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63BCBFAE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ernæringsfaktorer og energibehov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5B126AB9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almindelige hygiejneprincipper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6C95265A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hygiejne-, opbevarings- og konserveringsprincipper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nil"/>
            </w:tcBorders>
          </w:tcPr>
          <w:p w14:paraId="30ED4128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18E97C1E" w14:textId="77777777" w:rsidR="000757CC" w:rsidRDefault="000757CC"/>
        </w:tc>
      </w:tr>
      <w:tr w:rsidR="000757CC" w14:paraId="1F96A59D" w14:textId="77777777" w:rsidTr="00883657">
        <w:trPr>
          <w:trHeight w:val="1206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726B119F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108FF0B5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7D12119D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393AA747" w14:textId="77777777" w:rsidR="000757CC" w:rsidRDefault="009060F8">
            <w:pPr>
              <w:ind w:left="2" w:right="15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 vurdere egne madvalg i forhold til sundhed, trivsel og miljø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1A30105C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faktorer der påvirker madvalg, sundhed, trivsel og miljø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0F04A6D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kostanbefalinger til madlavning og måltidssammensætning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5D64097E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kostanbefalinger og deres grundlag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61CD1511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mads holdbarhed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13AE1567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mikroorganismer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4" w:space="0" w:color="568096"/>
              <w:right w:val="nil"/>
            </w:tcBorders>
          </w:tcPr>
          <w:p w14:paraId="1877DD4C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49716E06" w14:textId="77777777" w:rsidR="000757CC" w:rsidRDefault="000757CC"/>
        </w:tc>
      </w:tr>
      <w:tr w:rsidR="000757CC" w14:paraId="6C1D591C" w14:textId="77777777" w:rsidTr="00C45039">
        <w:trPr>
          <w:trHeight w:val="51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715C2BCF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Fødevarebevidsthed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780991BE" w14:textId="77777777" w:rsidR="000757CC" w:rsidRDefault="009060F8">
            <w:pPr>
              <w:spacing w:line="26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kan træffe  begrundede madvalg </w:t>
            </w:r>
          </w:p>
          <w:p w14:paraId="22291572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i forhold til kvalitet, smag og bæredygtighed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D286DCA" w14:textId="77777777" w:rsidR="000757CC" w:rsidRDefault="009060F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33089AC7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Råvarekendskab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C268734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Bæredygtighed og miljø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D1DB799" w14:textId="77777777" w:rsidR="000757CC" w:rsidRDefault="009060F8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Madvaredeklarationer og </w:t>
            </w:r>
          </w:p>
          <w:p w14:paraId="18193D07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fødevaremærkninger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B470438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Kvalitetsforståelse og madforbrug</w:t>
            </w:r>
          </w:p>
        </w:tc>
        <w:tc>
          <w:tcPr>
            <w:tcW w:w="3616" w:type="dxa"/>
            <w:gridSpan w:val="2"/>
            <w:vMerge w:val="restart"/>
            <w:tcBorders>
              <w:top w:val="nil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DBDCDE"/>
          </w:tcPr>
          <w:p w14:paraId="0E79A78C" w14:textId="77777777" w:rsidR="000757CC" w:rsidRDefault="000757CC"/>
        </w:tc>
      </w:tr>
      <w:tr w:rsidR="000757CC" w14:paraId="216C721A" w14:textId="77777777" w:rsidTr="00883657">
        <w:trPr>
          <w:trHeight w:val="1587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3CF06A4D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6E2AF1CC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008B198C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735FBBD7" w14:textId="77777777" w:rsidR="000757CC" w:rsidRDefault="009060F8">
            <w:pPr>
              <w:ind w:left="2" w:right="10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redegøre for almindelige råvarers smag og anvendelse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3AB618D9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råvaregruppers smag og anvendelse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76E417DE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analysere fødevaregruppers vej fra jord til bord og til jord igen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27749417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fødevaregruppers bæredygtighed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3E61F452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aflæse madvaredeklarationer og fødevaremærkninger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4EE6CFF2" w14:textId="77777777" w:rsidR="000757CC" w:rsidRDefault="009060F8">
            <w:pPr>
              <w:ind w:left="1" w:right="37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fagord og begreber og maddeklarationers og mærkningsordningers formål og struktur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7C44ECF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fødevarers kvalitet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1101127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 kvalitetskriterier for fødevarer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single" w:sz="12" w:space="0" w:color="568096"/>
            </w:tcBorders>
          </w:tcPr>
          <w:p w14:paraId="306EB041" w14:textId="77777777" w:rsidR="000757CC" w:rsidRDefault="000757CC"/>
        </w:tc>
      </w:tr>
      <w:tr w:rsidR="000757CC" w14:paraId="17566945" w14:textId="77777777" w:rsidTr="00883657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586203AB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4333A81D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2FC53714" w14:textId="77777777" w:rsidR="000757CC" w:rsidRDefault="009060F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3BDECC3D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tage hensyn til råvarers fysisk-kemiske egenskaber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6D4E0F0F" w14:textId="77777777" w:rsidR="000757CC" w:rsidRDefault="009060F8">
            <w:pPr>
              <w:ind w:left="1" w:right="99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råvaregruppers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6A4968D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miljømæssige konsekvenser af madhåndtering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533092D6" w14:textId="77777777" w:rsidR="000757CC" w:rsidRDefault="009060F8">
            <w:pPr>
              <w:ind w:left="1" w:right="144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betydningen af madhåndtering for bæredygtighed og miljø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97E0000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næringsindhold og  tilsætningsstoffer, herunder med digitale værktøjer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1D2B4D3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næringsdeklarationer og tilsætningsstoffer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B6FDEAA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madforbrug i relation til kvalitet, hverdagsliv, æstetik og markedsføring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DBDFBB2" w14:textId="77777777" w:rsidR="000757CC" w:rsidRDefault="009060F8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har viden om </w:t>
            </w:r>
          </w:p>
          <w:p w14:paraId="1C6DB0A3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faktorer der påvirker madforbrug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12" w:space="0" w:color="568096"/>
            </w:tcBorders>
          </w:tcPr>
          <w:p w14:paraId="371E0FF1" w14:textId="77777777" w:rsidR="000757CC" w:rsidRDefault="000757CC"/>
        </w:tc>
      </w:tr>
      <w:tr w:rsidR="000757CC" w14:paraId="6D32FC93" w14:textId="77777777" w:rsidTr="00C45039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691131F0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Madlavning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53B5B507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madlavningsteknikker og omsætte idéer i madlavningen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7CEEBC82" w14:textId="77777777" w:rsidR="000757CC" w:rsidRDefault="009060F8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DC2C7CD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Madlavningens mål og struktur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477F7FC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Grundmetoder og madteknik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97169C4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Madlavningens fysik og kemi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3EF381A2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Smag og tilsmagning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CBD3DA"/>
          </w:tcPr>
          <w:p w14:paraId="1EC1003E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Madens æstetik</w:t>
            </w:r>
          </w:p>
        </w:tc>
      </w:tr>
      <w:tr w:rsidR="000757CC" w14:paraId="0DA7D5B5" w14:textId="77777777" w:rsidTr="006A4FD9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58107A21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0B2A1F08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69F51D9E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7B7E1A93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efter en opskrift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2FCE73FD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køkkenredskaber, arbejdsprocesser samt fagord og begreber i en opskrift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1E446AAF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ud fra enkle grundmetoder og teknikker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41BD70C6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1B9C346C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under hensyntagen til fysisk-kemiske processer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5293DA91" w14:textId="77777777" w:rsidR="000757CC" w:rsidRDefault="009060F8">
            <w:pPr>
              <w:ind w:left="1" w:right="8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madlavnings grundlæggende fysik og kemi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D34C385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skelne mellem forskellige grundsmage, konsistens og aroma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3C3D8CCC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grundsmage, konsistens og aroma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204F52E4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fortolke sanse- og madoplevelser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FFF2CC" w:themeFill="accent4" w:themeFillTint="33"/>
          </w:tcPr>
          <w:p w14:paraId="1E2BB412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sanselighed</w:t>
            </w:r>
          </w:p>
        </w:tc>
      </w:tr>
      <w:tr w:rsidR="000757CC" w14:paraId="780E58D1" w14:textId="77777777" w:rsidTr="00883657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7ABE38F2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6E9BA4F5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64142D62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751DF578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udvikle opskrifter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195EF9E0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mål og struktur i opskrifter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BA4D4D3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kombinere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D858350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kombinationsmuligheder mellem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60B53D3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skabe retter under hensynstagen til sammenhæng mellem madlavnings grundmetoder og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B9BB599" w14:textId="77777777" w:rsidR="000757CC" w:rsidRDefault="009060F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har viden </w:t>
            </w:r>
          </w:p>
          <w:p w14:paraId="0F927073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om sammenhæng mellem madlavnings grundmetoder og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FF09249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tilsmage og krydre maden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B2908A8" w14:textId="77777777" w:rsidR="000757CC" w:rsidRDefault="009060F8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tilsmagning og krydring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03E04E7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vurdere mads æstetiske indtryk og udtryk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E7EAEE"/>
          </w:tcPr>
          <w:p w14:paraId="664ECCA9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mads æstetiske vurderingskriterier</w:t>
            </w:r>
          </w:p>
        </w:tc>
      </w:tr>
      <w:tr w:rsidR="000757CC" w14:paraId="1D9ED629" w14:textId="77777777" w:rsidTr="00C45039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12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597247F4" w14:textId="77777777" w:rsidR="000757CC" w:rsidRDefault="009060F8"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 og madkultur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103F4990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fortolke måltider med forståelse for værdier, kultur og levevilkår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6F5DEB2" w14:textId="77777777" w:rsidR="000757CC" w:rsidRDefault="009060F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016D3426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Måltidets komposition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5765558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Måltidskultur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nil"/>
            </w:tcBorders>
            <w:shd w:val="clear" w:color="auto" w:fill="DBDCDE"/>
          </w:tcPr>
          <w:p w14:paraId="37B4EC02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single" w:sz="12" w:space="0" w:color="568096"/>
              <w:right w:val="nil"/>
            </w:tcBorders>
            <w:shd w:val="clear" w:color="auto" w:fill="DBDCDE"/>
          </w:tcPr>
          <w:p w14:paraId="32CEE244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single" w:sz="12" w:space="0" w:color="568096"/>
              <w:right w:val="single" w:sz="12" w:space="0" w:color="568096"/>
            </w:tcBorders>
            <w:shd w:val="clear" w:color="auto" w:fill="DBDCDE"/>
          </w:tcPr>
          <w:p w14:paraId="45CB26DD" w14:textId="77777777" w:rsidR="000757CC" w:rsidRDefault="000757CC"/>
        </w:tc>
      </w:tr>
      <w:tr w:rsidR="000757CC" w14:paraId="7D461EDE" w14:textId="77777777" w:rsidTr="00883657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718AAF9E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70804099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033B25B2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0F21D7BD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opbygge hverdagens måltider ud fra formål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205E1860" w14:textId="77777777" w:rsidR="000757CC" w:rsidRDefault="009060F8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grundprincipper for opbygning af måltider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54D9D385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analysere måltider fra forskellige kulturer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43947B72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mad- og måltidskulturer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nil"/>
            </w:tcBorders>
          </w:tcPr>
          <w:p w14:paraId="32508DFF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643159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39C608A3" w14:textId="77777777" w:rsidR="000757CC" w:rsidRDefault="000757CC"/>
        </w:tc>
      </w:tr>
      <w:tr w:rsidR="000757CC" w14:paraId="16B0475E" w14:textId="77777777" w:rsidTr="006A4FD9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12" w:space="0" w:color="568096"/>
              <w:right w:val="single" w:sz="4" w:space="0" w:color="568096"/>
            </w:tcBorders>
          </w:tcPr>
          <w:p w14:paraId="061B19B2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12" w:space="0" w:color="568096"/>
              <w:right w:val="single" w:sz="4" w:space="0" w:color="568096"/>
            </w:tcBorders>
          </w:tcPr>
          <w:p w14:paraId="58B57CA2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457B2AD1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21267735" w14:textId="77777777" w:rsidR="000757CC" w:rsidRDefault="009060F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kan opbygge </w:t>
            </w:r>
          </w:p>
          <w:p w14:paraId="5BB7F994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måltider til særlige anledninger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3BEE8DFD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måltidsanledninger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49C9F9FA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præsentere eksemplariske måltider fra forskellige kulturer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FFF2CC" w:themeFill="accent4" w:themeFillTint="33"/>
          </w:tcPr>
          <w:p w14:paraId="6487C834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tids- og stedsbestemte mad- og måltidskulturer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12" w:space="0" w:color="568096"/>
              <w:right w:val="nil"/>
            </w:tcBorders>
          </w:tcPr>
          <w:p w14:paraId="481871AB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568096"/>
              <w:right w:val="nil"/>
            </w:tcBorders>
          </w:tcPr>
          <w:p w14:paraId="6CCD93D8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568096"/>
              <w:right w:val="single" w:sz="12" w:space="0" w:color="568096"/>
            </w:tcBorders>
          </w:tcPr>
          <w:p w14:paraId="25ADC6CC" w14:textId="77777777" w:rsidR="000757CC" w:rsidRDefault="000757CC"/>
        </w:tc>
      </w:tr>
    </w:tbl>
    <w:p w14:paraId="03AEB107" w14:textId="77777777" w:rsidR="009060F8" w:rsidRDefault="009060F8"/>
    <w:sectPr w:rsidR="009060F8" w:rsidSect="002731F0">
      <w:headerReference w:type="default" r:id="rId10"/>
      <w:pgSz w:w="23811" w:h="16838" w:orient="landscape"/>
      <w:pgMar w:top="641" w:right="1440" w:bottom="79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1AAC" w14:textId="77777777" w:rsidR="002731F0" w:rsidRDefault="002731F0" w:rsidP="00C45039">
      <w:pPr>
        <w:spacing w:after="0" w:line="240" w:lineRule="auto"/>
      </w:pPr>
      <w:r>
        <w:separator/>
      </w:r>
    </w:p>
  </w:endnote>
  <w:endnote w:type="continuationSeparator" w:id="0">
    <w:p w14:paraId="1754C064" w14:textId="77777777" w:rsidR="002731F0" w:rsidRDefault="002731F0" w:rsidP="00C4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9FEC8" w14:textId="77777777" w:rsidR="002731F0" w:rsidRDefault="002731F0" w:rsidP="00C45039">
      <w:pPr>
        <w:spacing w:after="0" w:line="240" w:lineRule="auto"/>
      </w:pPr>
      <w:r>
        <w:separator/>
      </w:r>
    </w:p>
  </w:footnote>
  <w:footnote w:type="continuationSeparator" w:id="0">
    <w:p w14:paraId="2E8DDF93" w14:textId="77777777" w:rsidR="002731F0" w:rsidRDefault="002731F0" w:rsidP="00C4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9EFC" w14:textId="77777777" w:rsidR="002731F0" w:rsidRDefault="002731F0">
    <w:pPr>
      <w:pStyle w:val="Sidehoved"/>
    </w:pPr>
    <w:r>
      <w:t>Æg og sundhed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C"/>
    <w:rsid w:val="000757CC"/>
    <w:rsid w:val="001C66C1"/>
    <w:rsid w:val="001D0481"/>
    <w:rsid w:val="002731F0"/>
    <w:rsid w:val="00526586"/>
    <w:rsid w:val="0060622A"/>
    <w:rsid w:val="006A4FD9"/>
    <w:rsid w:val="007E10D0"/>
    <w:rsid w:val="00883657"/>
    <w:rsid w:val="009060F8"/>
    <w:rsid w:val="009D625D"/>
    <w:rsid w:val="00C4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EE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45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5039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C45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503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45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5039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C45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503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F0988-57DD-4242-9C70-6AF9FDAD3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E66EE-C0CD-4602-8DBC-84D2A470B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16466-AA20-4D3A-8366-5B9F162E585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3697</Characters>
  <Application>Microsoft Office Word</Application>
  <DocSecurity>4</DocSecurity>
  <Lines>264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Skielboe</dc:creator>
  <cp:lastModifiedBy>Hanne Castenschiold</cp:lastModifiedBy>
  <cp:revision>2</cp:revision>
  <cp:lastPrinted>2016-05-02T10:34:00Z</cp:lastPrinted>
  <dcterms:created xsi:type="dcterms:W3CDTF">2016-11-11T09:05:00Z</dcterms:created>
  <dcterms:modified xsi:type="dcterms:W3CDTF">2016-11-11T09:05:00Z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0x010100C525B09B10F20C499DD786774E74B4A0</vt:lpwstr>
  </property>
</Properties>
</file>